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1298" w14:textId="1401DFA8" w:rsidR="001159BE" w:rsidRPr="001159BE" w:rsidRDefault="001159BE" w:rsidP="001159BE">
      <w:pPr>
        <w:pStyle w:val="Heading2"/>
        <w:rPr>
          <w:color w:val="548DD4" w:themeColor="text2" w:themeTint="99"/>
        </w:rPr>
      </w:pPr>
      <w:r w:rsidRPr="001159BE">
        <w:rPr>
          <w:color w:val="548DD4" w:themeColor="text2" w:themeTint="99"/>
        </w:rPr>
        <w:t xml:space="preserve">Research </w:t>
      </w:r>
      <w:r w:rsidR="005F772B">
        <w:rPr>
          <w:color w:val="548DD4" w:themeColor="text2" w:themeTint="99"/>
        </w:rPr>
        <w:t>–</w:t>
      </w:r>
      <w:r w:rsidRPr="001159BE">
        <w:rPr>
          <w:color w:val="548DD4" w:themeColor="text2" w:themeTint="99"/>
        </w:rPr>
        <w:t xml:space="preserve"> Attacker</w:t>
      </w:r>
      <w:r w:rsidR="005F772B">
        <w:rPr>
          <w:color w:val="548DD4" w:themeColor="text2" w:themeTint="99"/>
        </w:rPr>
        <w:t xml:space="preserve"> Taxonomy</w:t>
      </w:r>
    </w:p>
    <w:p w14:paraId="00000003" w14:textId="77777777" w:rsidR="00097B42" w:rsidRDefault="00097B42">
      <w:bookmarkStart w:id="0" w:name="_gjdgxs" w:colFirst="0" w:colLast="0"/>
      <w:bookmarkEnd w:id="0"/>
    </w:p>
    <w:p w14:paraId="7C52E85F" w14:textId="77777777" w:rsidR="001159BE" w:rsidRDefault="005F772B" w:rsidP="001159BE">
      <w:pPr>
        <w:ind w:left="720"/>
      </w:pPr>
      <w:r w:rsidRPr="001159BE">
        <w:rPr>
          <w:rStyle w:val="IntenseReference"/>
        </w:rPr>
        <w:t>Research Question:</w:t>
      </w:r>
      <w:r>
        <w:t xml:space="preserve"> </w:t>
      </w:r>
    </w:p>
    <w:p w14:paraId="00000004" w14:textId="3D22D505" w:rsidR="00097B42" w:rsidRDefault="005F772B" w:rsidP="001159BE">
      <w:pPr>
        <w:ind w:left="720"/>
      </w:pPr>
      <w:r>
        <w:t>What are the dimensions of attacker cognition and socio-cultural identity for which effective defensive measures can be defined/implemented?</w:t>
      </w:r>
    </w:p>
    <w:p w14:paraId="00000005" w14:textId="77777777" w:rsidR="00097B42" w:rsidRDefault="00097B42"/>
    <w:p w14:paraId="00000006" w14:textId="12657F90" w:rsidR="00097B42" w:rsidRDefault="005F772B">
      <w:r>
        <w:t>Attacker mental models can be usefully extended to understand dimensions of cognitive and socio</w:t>
      </w:r>
      <w:r>
        <w:t>-cultural susceptibility for exploitation and manipulation and to determine how these affect an attacker’s perception of qualitative and quantitative characteristics of cyber-attack</w:t>
      </w:r>
      <w:r>
        <w:t xml:space="preserve"> surfaces. This would influence our understanding and implementation of eff</w:t>
      </w:r>
      <w:r>
        <w:t xml:space="preserve">ective defensive strategies, particularly those which may have an impact on attackers’ cognition. </w:t>
      </w:r>
    </w:p>
    <w:p w14:paraId="00000007" w14:textId="77777777" w:rsidR="00097B42" w:rsidRDefault="00097B42"/>
    <w:p w14:paraId="00000008" w14:textId="77777777" w:rsidR="00097B42" w:rsidRDefault="005F772B">
      <w:r>
        <w:t>These dimensions may include:</w:t>
      </w:r>
    </w:p>
    <w:p w14:paraId="00000009" w14:textId="77777777" w:rsidR="00097B42" w:rsidRDefault="005F7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Adaptability</w:t>
      </w:r>
    </w:p>
    <w:p w14:paraId="0000000A" w14:textId="77777777" w:rsidR="00097B42" w:rsidRDefault="005F77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Flexibility</w:t>
      </w:r>
    </w:p>
    <w:p w14:paraId="0000000B" w14:textId="77777777" w:rsidR="00097B42" w:rsidRDefault="005F77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Tolerance of chance</w:t>
      </w:r>
    </w:p>
    <w:p w14:paraId="0000000C" w14:textId="77777777" w:rsidR="00097B42" w:rsidRDefault="005F7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Awareness of environmental change</w:t>
      </w:r>
    </w:p>
    <w:p w14:paraId="0000000D" w14:textId="77777777" w:rsidR="00097B42" w:rsidRDefault="005F7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Tenacity</w:t>
      </w:r>
    </w:p>
    <w:p w14:paraId="0000000E" w14:textId="77777777" w:rsidR="00097B42" w:rsidRDefault="005F7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Intentionality</w:t>
      </w:r>
    </w:p>
    <w:p w14:paraId="0000000F" w14:textId="77777777" w:rsidR="00097B42" w:rsidRDefault="005F7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Cultural values/organiz</w:t>
      </w:r>
      <w:r>
        <w:rPr>
          <w:color w:val="000000"/>
        </w:rPr>
        <w:t>ational structure</w:t>
      </w:r>
    </w:p>
    <w:p w14:paraId="00000010" w14:textId="77777777" w:rsidR="00097B42" w:rsidRDefault="005F7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Thinking ‘System 1 and 2’ </w:t>
      </w:r>
    </w:p>
    <w:p w14:paraId="00000011" w14:textId="77777777" w:rsidR="00097B42" w:rsidRDefault="005F77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Opportunism vs. Directedness</w:t>
      </w:r>
    </w:p>
    <w:p w14:paraId="00000012" w14:textId="77777777" w:rsidR="00097B42" w:rsidRDefault="00097B42"/>
    <w:p w14:paraId="00000013" w14:textId="46E0C085" w:rsidR="00097B42" w:rsidRDefault="005F772B">
      <w:r>
        <w:rPr>
          <w:b/>
        </w:rPr>
        <w:t>How do we measure dimensions of the attacker model?</w:t>
      </w:r>
      <w:r>
        <w:t xml:space="preserve"> Attacker cognitive and socio-cultural dimensions might be measured passively, derived from existing data (operational or experimental), or experimentally determined through direct manipulation of cyber environments.  Future empirical research will be requ</w:t>
      </w:r>
      <w:r>
        <w:t>ired, including human subjects’</w:t>
      </w:r>
      <w:r>
        <w:t xml:space="preserve"> experimentation. </w:t>
      </w:r>
    </w:p>
    <w:p w14:paraId="00000014" w14:textId="77777777" w:rsidR="00097B42" w:rsidRDefault="00097B42"/>
    <w:p w14:paraId="00000015" w14:textId="6BDDC476" w:rsidR="00097B42" w:rsidRDefault="005F772B">
      <w:r>
        <w:rPr>
          <w:b/>
        </w:rPr>
        <w:t>How well do we need to “know” the attacker for the model to have good utility?</w:t>
      </w:r>
      <w:r>
        <w:t xml:space="preserve"> The resulting taxonomy may have many measures.  For an</w:t>
      </w:r>
      <w:r>
        <w:t xml:space="preserve"> attacker</w:t>
      </w:r>
      <w:r>
        <w:t xml:space="preserve"> type, subsets of the taxonomy and distributions of fe</w:t>
      </w:r>
      <w:r>
        <w:t xml:space="preserve">atures across each measure might be useful for informing effective defensive strategies.   </w:t>
      </w:r>
    </w:p>
    <w:p w14:paraId="00000016" w14:textId="77777777" w:rsidR="00097B42" w:rsidRDefault="00097B42"/>
    <w:p w14:paraId="00000017" w14:textId="77777777" w:rsidR="00097B42" w:rsidRDefault="005F772B">
      <w:r>
        <w:rPr>
          <w:b/>
        </w:rPr>
        <w:t>How can we best use the attacker model to improve cyber defenses?</w:t>
      </w:r>
      <w:r>
        <w:t xml:space="preserve"> The attackers’ position </w:t>
      </w:r>
      <w:proofErr w:type="gramStart"/>
      <w:r>
        <w:t>with regard to</w:t>
      </w:r>
      <w:proofErr w:type="gramEnd"/>
      <w:r>
        <w:t xml:space="preserve"> each of these dimensions affects the nature and sophistica</w:t>
      </w:r>
      <w:r>
        <w:t xml:space="preserve">tion of the deceptive maneuver required, affecting the outcomes of carrying out an attack. For example: </w:t>
      </w:r>
    </w:p>
    <w:p w14:paraId="00000018" w14:textId="77777777" w:rsidR="00097B42" w:rsidRDefault="005F772B">
      <w:pPr>
        <w:numPr>
          <w:ilvl w:val="0"/>
          <w:numId w:val="1"/>
        </w:numPr>
      </w:pPr>
      <w:r>
        <w:t>Force an attacker into System 1 thinking to exacerbate cognitive bias effects.</w:t>
      </w:r>
    </w:p>
    <w:p w14:paraId="00000019" w14:textId="77777777" w:rsidR="00097B42" w:rsidRDefault="005F772B">
      <w:pPr>
        <w:numPr>
          <w:ilvl w:val="0"/>
          <w:numId w:val="1"/>
        </w:numPr>
      </w:pPr>
      <w:r>
        <w:t>Force an attacker into System 2 to slow down forward progress.</w:t>
      </w:r>
    </w:p>
    <w:p w14:paraId="0000001A" w14:textId="77777777" w:rsidR="00097B42" w:rsidRDefault="005F772B">
      <w:pPr>
        <w:numPr>
          <w:ilvl w:val="0"/>
          <w:numId w:val="1"/>
        </w:numPr>
      </w:pPr>
      <w:r>
        <w:t>Lure an a</w:t>
      </w:r>
      <w:r>
        <w:t>ttacker into using logical fallacies to inform bad heuristics.</w:t>
      </w:r>
    </w:p>
    <w:p w14:paraId="0000001B" w14:textId="77777777" w:rsidR="00097B42" w:rsidRDefault="005F772B">
      <w:pPr>
        <w:numPr>
          <w:ilvl w:val="0"/>
          <w:numId w:val="1"/>
        </w:numPr>
      </w:pPr>
      <w:r>
        <w:t>Induce specific cognitive biases to affect attacker behavior.</w:t>
      </w:r>
    </w:p>
    <w:p w14:paraId="0000001C" w14:textId="77777777" w:rsidR="00097B42" w:rsidRDefault="005F772B">
      <w:pPr>
        <w:numPr>
          <w:ilvl w:val="0"/>
          <w:numId w:val="1"/>
        </w:numPr>
      </w:pPr>
      <w:r>
        <w:t>Measuring an attacker’s susceptibility to specific cognitive biases.</w:t>
      </w:r>
    </w:p>
    <w:p w14:paraId="0000001D" w14:textId="77777777" w:rsidR="00097B42" w:rsidRDefault="005F772B">
      <w:pPr>
        <w:numPr>
          <w:ilvl w:val="0"/>
          <w:numId w:val="1"/>
        </w:numPr>
      </w:pPr>
      <w:r>
        <w:lastRenderedPageBreak/>
        <w:t>Using socio-cultural measures to determine attacker type or ba</w:t>
      </w:r>
      <w:r>
        <w:t>ckground.</w:t>
      </w:r>
    </w:p>
    <w:p w14:paraId="0000001E" w14:textId="77777777" w:rsidR="00097B42" w:rsidRDefault="00097B42"/>
    <w:p w14:paraId="0000001F" w14:textId="77777777" w:rsidR="00097B42" w:rsidRDefault="005F772B">
      <w:r>
        <w:t>Once an attacker model is defined, exploitation of this model may take several forms, including: use of defensive deception to misdirect an attack; implementation of oppositional human factors techniques to degrade the usability of specific atta</w:t>
      </w:r>
      <w:r>
        <w:t xml:space="preserve">ck tools and techniques; or more effectively engage with the attacker. </w:t>
      </w:r>
    </w:p>
    <w:p w14:paraId="00000020" w14:textId="77777777" w:rsidR="00097B42" w:rsidRDefault="00097B42">
      <w:bookmarkStart w:id="1" w:name="_GoBack"/>
      <w:bookmarkEnd w:id="1"/>
    </w:p>
    <w:p w14:paraId="00000021" w14:textId="63CD75B2" w:rsidR="00097B42" w:rsidRPr="005F772B" w:rsidRDefault="005F772B" w:rsidP="005F772B">
      <w:pPr>
        <w:ind w:left="720"/>
        <w:rPr>
          <w:rStyle w:val="IntenseReference"/>
        </w:rPr>
      </w:pPr>
      <w:r>
        <w:rPr>
          <w:rStyle w:val="IntenseReference"/>
        </w:rPr>
        <w:t>Research Approach:</w:t>
      </w:r>
    </w:p>
    <w:p w14:paraId="00000022" w14:textId="77777777" w:rsidR="00097B42" w:rsidRDefault="005F772B" w:rsidP="005F772B">
      <w:pPr>
        <w:numPr>
          <w:ilvl w:val="0"/>
          <w:numId w:val="2"/>
        </w:numPr>
        <w:ind w:left="1440"/>
      </w:pPr>
      <w:r>
        <w:t>Develop and validate an attacker taxonomy.</w:t>
      </w:r>
    </w:p>
    <w:p w14:paraId="00000023" w14:textId="77777777" w:rsidR="00097B42" w:rsidRDefault="005F772B" w:rsidP="005F772B">
      <w:pPr>
        <w:numPr>
          <w:ilvl w:val="0"/>
          <w:numId w:val="2"/>
        </w:numPr>
        <w:ind w:left="1440"/>
      </w:pPr>
      <w:r>
        <w:t>Investigate techniques for measuring cognitive and socio-cultural dimensions of cyber attackers.</w:t>
      </w:r>
    </w:p>
    <w:p w14:paraId="00000024" w14:textId="77777777" w:rsidR="00097B42" w:rsidRDefault="005F772B" w:rsidP="005F772B">
      <w:pPr>
        <w:numPr>
          <w:ilvl w:val="0"/>
          <w:numId w:val="2"/>
        </w:numPr>
        <w:ind w:left="1440"/>
      </w:pPr>
      <w:r>
        <w:t>Conduct experiments to eval</w:t>
      </w:r>
      <w:r>
        <w:t xml:space="preserve">uate the use of the taxonomy and associated measurements. </w:t>
      </w:r>
    </w:p>
    <w:p w14:paraId="00000025" w14:textId="77777777" w:rsidR="00097B42" w:rsidRDefault="005F772B" w:rsidP="005F772B">
      <w:pPr>
        <w:numPr>
          <w:ilvl w:val="0"/>
          <w:numId w:val="2"/>
        </w:numPr>
        <w:ind w:left="1440"/>
      </w:pPr>
      <w:r>
        <w:t>Exploit these measures to inform effective defensive strategy.</w:t>
      </w:r>
    </w:p>
    <w:p w14:paraId="00000026" w14:textId="77777777" w:rsidR="00097B42" w:rsidRDefault="00097B42"/>
    <w:p w14:paraId="00000027" w14:textId="77777777" w:rsidR="00097B42" w:rsidRDefault="00097B42"/>
    <w:p w14:paraId="00000028" w14:textId="77777777" w:rsidR="00097B42" w:rsidRDefault="00097B42"/>
    <w:p w14:paraId="00000029" w14:textId="77777777" w:rsidR="00097B42" w:rsidRDefault="00097B42"/>
    <w:p w14:paraId="0000002A" w14:textId="77777777" w:rsidR="00097B42" w:rsidRDefault="00097B42"/>
    <w:sectPr w:rsidR="00097B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396"/>
    <w:multiLevelType w:val="multilevel"/>
    <w:tmpl w:val="7FDEE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4273BE"/>
    <w:multiLevelType w:val="multilevel"/>
    <w:tmpl w:val="129E9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206EE7"/>
    <w:multiLevelType w:val="multilevel"/>
    <w:tmpl w:val="BF34D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42"/>
    <w:rsid w:val="00097B42"/>
    <w:rsid w:val="001159BE"/>
    <w:rsid w:val="005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1BC3"/>
  <w15:docId w15:val="{45DF2CAD-E6CB-423C-9373-A63A651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eReference">
    <w:name w:val="Intense Reference"/>
    <w:basedOn w:val="DefaultParagraphFont"/>
    <w:uiPriority w:val="32"/>
    <w:qFormat/>
    <w:rsid w:val="001159BE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- Sandy LOEPKER</cp:lastModifiedBy>
  <cp:revision>3</cp:revision>
  <dcterms:created xsi:type="dcterms:W3CDTF">2019-11-18T18:16:00Z</dcterms:created>
  <dcterms:modified xsi:type="dcterms:W3CDTF">2019-11-18T18:20:00Z</dcterms:modified>
</cp:coreProperties>
</file>